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313A" w14:textId="55898C81" w:rsidR="00E13400" w:rsidRPr="00E1186F" w:rsidRDefault="005E7CF7" w:rsidP="00E1186F">
      <w:pPr>
        <w:jc w:val="center"/>
        <w:rPr>
          <w:b/>
          <w:bCs/>
          <w:sz w:val="28"/>
          <w:szCs w:val="28"/>
          <w:u w:val="single"/>
        </w:rPr>
      </w:pPr>
      <w:r w:rsidRPr="00E1186F">
        <w:rPr>
          <w:b/>
          <w:bCs/>
          <w:sz w:val="28"/>
          <w:szCs w:val="28"/>
          <w:u w:val="single"/>
        </w:rPr>
        <w:t xml:space="preserve">AHRC Strategic Delivery Plan </w:t>
      </w:r>
      <w:r w:rsidR="003C495C" w:rsidRPr="00E1186F">
        <w:rPr>
          <w:b/>
          <w:bCs/>
          <w:sz w:val="28"/>
          <w:szCs w:val="28"/>
          <w:u w:val="single"/>
        </w:rPr>
        <w:t xml:space="preserve">2022 </w:t>
      </w:r>
      <w:r w:rsidRPr="00E1186F">
        <w:rPr>
          <w:b/>
          <w:bCs/>
          <w:sz w:val="28"/>
          <w:szCs w:val="28"/>
          <w:u w:val="single"/>
        </w:rPr>
        <w:t>–</w:t>
      </w:r>
      <w:r w:rsidR="0002551A" w:rsidRPr="00E1186F">
        <w:rPr>
          <w:b/>
          <w:bCs/>
          <w:sz w:val="28"/>
          <w:szCs w:val="28"/>
          <w:u w:val="single"/>
        </w:rPr>
        <w:t xml:space="preserve"> 2025:</w:t>
      </w:r>
      <w:r w:rsidRPr="00E1186F">
        <w:rPr>
          <w:b/>
          <w:bCs/>
          <w:sz w:val="28"/>
          <w:szCs w:val="28"/>
          <w:u w:val="single"/>
        </w:rPr>
        <w:t xml:space="preserve"> summary</w:t>
      </w:r>
    </w:p>
    <w:p w14:paraId="3DA52495" w14:textId="4E28AA9F" w:rsidR="003C495C" w:rsidRPr="004C793B" w:rsidRDefault="004C793B" w:rsidP="005E7CF7">
      <w:pPr>
        <w:rPr>
          <w:b/>
          <w:bCs/>
          <w:u w:val="single"/>
        </w:rPr>
      </w:pPr>
      <w:r w:rsidRPr="004C793B">
        <w:rPr>
          <w:b/>
          <w:bCs/>
          <w:u w:val="single"/>
        </w:rPr>
        <w:t>Vision</w:t>
      </w:r>
    </w:p>
    <w:p w14:paraId="2329B1E5" w14:textId="3327D26C" w:rsidR="004C793B" w:rsidRDefault="005E7CF7" w:rsidP="00EF0585">
      <w:r>
        <w:t>The AHRC states that its purpose is to “…</w:t>
      </w:r>
      <w:r w:rsidRPr="005E7CF7">
        <w:t>invest in a rich, diverse and creative research and innovation system through the contributions that arts and humanities ideas and people make</w:t>
      </w:r>
      <w:r>
        <w:t xml:space="preserve">.”. Their four principles of driving change will underpin all of their work: diversity, connectivity, resilience and engagement. </w:t>
      </w:r>
      <w:r w:rsidR="00EF0585">
        <w:t>Six objectives will drive future work and investments.</w:t>
      </w:r>
    </w:p>
    <w:p w14:paraId="5FA24390" w14:textId="08B48D88" w:rsidR="00792CB6" w:rsidRPr="00792CB6" w:rsidRDefault="00792CB6" w:rsidP="00792CB6">
      <w:pPr>
        <w:rPr>
          <w:b/>
          <w:bCs/>
          <w:u w:val="single"/>
        </w:rPr>
      </w:pPr>
      <w:r w:rsidRPr="00792CB6">
        <w:rPr>
          <w:b/>
          <w:bCs/>
          <w:u w:val="single"/>
        </w:rPr>
        <w:t>Objectives</w:t>
      </w:r>
    </w:p>
    <w:p w14:paraId="199936B5" w14:textId="77777777" w:rsidR="008A6241" w:rsidRDefault="00013325" w:rsidP="000043D8">
      <w:r>
        <w:rPr>
          <w:b/>
          <w:bCs/>
        </w:rPr>
        <w:t>P</w:t>
      </w:r>
      <w:r w:rsidR="005E7CF7" w:rsidRPr="005E7CF7">
        <w:rPr>
          <w:b/>
          <w:bCs/>
        </w:rPr>
        <w:t>eople and careers</w:t>
      </w:r>
      <w:r w:rsidR="005E7CF7">
        <w:t xml:space="preserve">. Bringing breadth, diversity and visibility to research careers. Making connections between people, sectors and capabilities. </w:t>
      </w:r>
      <w:r w:rsidR="00D22A37">
        <w:br/>
      </w:r>
      <w:r w:rsidR="00D22A37" w:rsidRPr="0026549B">
        <w:rPr>
          <w:u w:val="single"/>
        </w:rPr>
        <w:t>Key opportunities</w:t>
      </w:r>
      <w:r w:rsidR="00D22A37">
        <w:t xml:space="preserve">: </w:t>
      </w:r>
    </w:p>
    <w:p w14:paraId="5909D123" w14:textId="77777777" w:rsidR="008A6241" w:rsidRDefault="006D46C8" w:rsidP="008A6241">
      <w:pPr>
        <w:pStyle w:val="ListParagraph"/>
        <w:numPr>
          <w:ilvl w:val="0"/>
          <w:numId w:val="2"/>
        </w:numPr>
      </w:pPr>
      <w:r>
        <w:t xml:space="preserve">AHRC/Research Libraries UK joint fellowships, investing £1.5m over the next 3 years. </w:t>
      </w:r>
    </w:p>
    <w:p w14:paraId="38B9B993" w14:textId="77777777" w:rsidR="008A6241" w:rsidRDefault="00051A50" w:rsidP="008A6241">
      <w:pPr>
        <w:pStyle w:val="ListParagraph"/>
        <w:numPr>
          <w:ilvl w:val="0"/>
          <w:numId w:val="2"/>
        </w:numPr>
      </w:pPr>
      <w:r>
        <w:t>Innovation Scholarship secondments in architecture and desig</w:t>
      </w:r>
      <w:r w:rsidR="00505396">
        <w:t>n</w:t>
      </w:r>
      <w:r>
        <w:t xml:space="preserve"> to enable career mobility for researchers in this sector. </w:t>
      </w:r>
    </w:p>
    <w:p w14:paraId="534FB188" w14:textId="308E637D" w:rsidR="008A6241" w:rsidRDefault="00505396" w:rsidP="008A6241">
      <w:pPr>
        <w:pStyle w:val="ListParagraph"/>
        <w:numPr>
          <w:ilvl w:val="0"/>
          <w:numId w:val="2"/>
        </w:numPr>
      </w:pPr>
      <w:r>
        <w:t xml:space="preserve">Fellowships in public policy and the Galleries, Libraries, </w:t>
      </w:r>
      <w:r w:rsidR="0072097B">
        <w:t xml:space="preserve">Archives </w:t>
      </w:r>
      <w:r>
        <w:t xml:space="preserve">and </w:t>
      </w:r>
      <w:r w:rsidR="0072097B">
        <w:t xml:space="preserve">Museums </w:t>
      </w:r>
      <w:r>
        <w:t xml:space="preserve">(GLAM) sector. </w:t>
      </w:r>
    </w:p>
    <w:p w14:paraId="31F61866" w14:textId="77777777" w:rsidR="008A6241" w:rsidRDefault="008E7E03" w:rsidP="008A6241">
      <w:pPr>
        <w:pStyle w:val="ListParagraph"/>
        <w:numPr>
          <w:ilvl w:val="0"/>
          <w:numId w:val="2"/>
        </w:numPr>
      </w:pPr>
      <w:r>
        <w:t xml:space="preserve">UK-US digital scholarship fellows to take a global approach to skills and capability. </w:t>
      </w:r>
    </w:p>
    <w:p w14:paraId="52350A4F" w14:textId="335A803B" w:rsidR="005E7CF7" w:rsidRDefault="005E7CF7" w:rsidP="008A6241">
      <w:pPr>
        <w:pStyle w:val="ListParagraph"/>
        <w:numPr>
          <w:ilvl w:val="0"/>
          <w:numId w:val="2"/>
        </w:numPr>
      </w:pPr>
      <w:r>
        <w:t>Five new programme directors to build on leadership strengths, e.g. responsible AI, design</w:t>
      </w:r>
      <w:r w:rsidR="000043D8">
        <w:t xml:space="preserve"> partnerships.</w:t>
      </w:r>
      <w:r>
        <w:t xml:space="preserve"> </w:t>
      </w:r>
    </w:p>
    <w:p w14:paraId="0350E54B" w14:textId="77777777" w:rsidR="00EF0585" w:rsidRDefault="00013325" w:rsidP="004F5A85">
      <w:r>
        <w:rPr>
          <w:b/>
          <w:bCs/>
        </w:rPr>
        <w:t>P</w:t>
      </w:r>
      <w:r w:rsidR="005E7CF7" w:rsidRPr="005E7CF7">
        <w:rPr>
          <w:b/>
          <w:bCs/>
        </w:rPr>
        <w:t>laces</w:t>
      </w:r>
      <w:r w:rsidR="005E7CF7">
        <w:t xml:space="preserve">. </w:t>
      </w:r>
      <w:r w:rsidR="00C06829">
        <w:t xml:space="preserve">Investing in </w:t>
      </w:r>
      <w:r w:rsidR="0087081B">
        <w:t xml:space="preserve">large infrastructure projects to support research, innovation and the cultural sector. </w:t>
      </w:r>
      <w:r w:rsidR="005E7CF7">
        <w:t>Transforming infrastructure to enable the best research. Working at the hear</w:t>
      </w:r>
      <w:r w:rsidR="0087081B">
        <w:t>t</w:t>
      </w:r>
      <w:r w:rsidR="005E7CF7">
        <w:t xml:space="preserve"> of thriving communities. </w:t>
      </w:r>
      <w:r w:rsidR="004F5A85">
        <w:br/>
      </w:r>
      <w:r w:rsidR="004F5A85" w:rsidRPr="00DB7392">
        <w:rPr>
          <w:u w:val="single"/>
        </w:rPr>
        <w:t>Key opportunities/investments</w:t>
      </w:r>
      <w:r w:rsidR="004F5A85">
        <w:t xml:space="preserve">: </w:t>
      </w:r>
    </w:p>
    <w:p w14:paraId="772B2B48" w14:textId="3EF8B73F" w:rsidR="00EF0585" w:rsidRDefault="004F5A85" w:rsidP="00EF0585">
      <w:pPr>
        <w:pStyle w:val="ListParagraph"/>
        <w:numPr>
          <w:ilvl w:val="0"/>
          <w:numId w:val="3"/>
        </w:numPr>
      </w:pPr>
      <w:r>
        <w:t>New baseline research infrastructure funding (£72</w:t>
      </w:r>
      <w:r w:rsidR="0044010A">
        <w:t>.15m)</w:t>
      </w:r>
      <w:r w:rsidR="008375F3">
        <w:t>,</w:t>
      </w:r>
      <w:r w:rsidR="0044010A">
        <w:t xml:space="preserve"> a national Research Infrastructure for Conservation and Heritage Science fund (£16</w:t>
      </w:r>
      <w:r w:rsidR="008375F3">
        <w:t xml:space="preserve">.2m), </w:t>
      </w:r>
      <w:r w:rsidR="005E5558">
        <w:t xml:space="preserve">national infrastructure for digital innovation and curation (£8m), Creative Research Capability Awards (building on </w:t>
      </w:r>
      <w:proofErr w:type="spellStart"/>
      <w:r w:rsidR="005E5558">
        <w:t>CapCo</w:t>
      </w:r>
      <w:proofErr w:type="spellEnd"/>
      <w:r w:rsidR="005E5558">
        <w:t>; £15m</w:t>
      </w:r>
      <w:r w:rsidR="00015F1F">
        <w:t xml:space="preserve"> – see below</w:t>
      </w:r>
      <w:r w:rsidR="005E5558">
        <w:t>)</w:t>
      </w:r>
      <w:r w:rsidR="000F3930">
        <w:t xml:space="preserve">, and final stages of </w:t>
      </w:r>
      <w:r w:rsidR="00015F1F">
        <w:t xml:space="preserve">the </w:t>
      </w:r>
      <w:r w:rsidR="00A96AB9">
        <w:t xml:space="preserve">Towards a National Collection programme. </w:t>
      </w:r>
    </w:p>
    <w:p w14:paraId="1C4E0ED9" w14:textId="3806C7C9" w:rsidR="004F5A85" w:rsidRDefault="00A96AB9" w:rsidP="00EF0585">
      <w:pPr>
        <w:pStyle w:val="ListParagraph"/>
        <w:numPr>
          <w:ilvl w:val="0"/>
          <w:numId w:val="3"/>
        </w:numPr>
      </w:pPr>
      <w:r>
        <w:t>Creative Communities programme and investment</w:t>
      </w:r>
      <w:r w:rsidR="00013325">
        <w:t>s to improve access to funding for organisations in the GLAM sector.</w:t>
      </w:r>
    </w:p>
    <w:p w14:paraId="7C8A60C1" w14:textId="77777777" w:rsidR="00EF0585" w:rsidRDefault="005E7CF7" w:rsidP="005E7CF7">
      <w:r w:rsidRPr="005E7CF7">
        <w:rPr>
          <w:b/>
          <w:bCs/>
        </w:rPr>
        <w:t>Ideas</w:t>
      </w:r>
      <w:r>
        <w:t>. Being open</w:t>
      </w:r>
      <w:r w:rsidR="002F0BE4">
        <w:t xml:space="preserve"> and taking risks to </w:t>
      </w:r>
      <w:r w:rsidR="00DB7392">
        <w:t>make changes needed to</w:t>
      </w:r>
      <w:r>
        <w:t xml:space="preserve"> support the arts and hum</w:t>
      </w:r>
      <w:r w:rsidR="00DB7392">
        <w:t>anities</w:t>
      </w:r>
      <w:r>
        <w:t xml:space="preserve"> to thrive. Taking global perspectives and equitable approaches. </w:t>
      </w:r>
      <w:r w:rsidR="00DB7392">
        <w:br/>
      </w:r>
      <w:r w:rsidR="00DB7392" w:rsidRPr="00DB7392">
        <w:rPr>
          <w:u w:val="single"/>
        </w:rPr>
        <w:t>Key opportunities</w:t>
      </w:r>
      <w:r w:rsidR="00DB7392">
        <w:t>:</w:t>
      </w:r>
      <w:r w:rsidR="003C74B8">
        <w:t xml:space="preserve"> </w:t>
      </w:r>
    </w:p>
    <w:p w14:paraId="47841618" w14:textId="77777777" w:rsidR="00EF0585" w:rsidRDefault="00BB0758" w:rsidP="00EF0585">
      <w:pPr>
        <w:pStyle w:val="ListParagraph"/>
        <w:numPr>
          <w:ilvl w:val="0"/>
          <w:numId w:val="4"/>
        </w:numPr>
      </w:pPr>
      <w:r>
        <w:t xml:space="preserve">‘Where next?’ programme to </w:t>
      </w:r>
      <w:r w:rsidR="00077282">
        <w:t>engage with the AHRC community and improve responsive mode programmes</w:t>
      </w:r>
      <w:r w:rsidR="00E114AE">
        <w:t xml:space="preserve">. </w:t>
      </w:r>
    </w:p>
    <w:p w14:paraId="74740135" w14:textId="77777777" w:rsidR="00EF0585" w:rsidRDefault="00E114AE" w:rsidP="00EF0585">
      <w:pPr>
        <w:pStyle w:val="ListParagraph"/>
        <w:numPr>
          <w:ilvl w:val="0"/>
          <w:numId w:val="4"/>
        </w:numPr>
      </w:pPr>
      <w:r>
        <w:t xml:space="preserve">Innovative and inclusive research programmes, including </w:t>
      </w:r>
      <w:r w:rsidR="00FE32D9">
        <w:t xml:space="preserve">£500,000 dance research programme and ED&amp;I engagement fellowships. </w:t>
      </w:r>
    </w:p>
    <w:p w14:paraId="2B4312C6" w14:textId="57247633" w:rsidR="00DB7392" w:rsidRDefault="003D29D0" w:rsidP="00EF0585">
      <w:pPr>
        <w:pStyle w:val="ListParagraph"/>
        <w:numPr>
          <w:ilvl w:val="0"/>
          <w:numId w:val="4"/>
        </w:numPr>
      </w:pPr>
      <w:r>
        <w:t>Collaborative approaches to find global solutions to global challenges, e.g. disability-focused inclusive sustainable development project (£1m)</w:t>
      </w:r>
      <w:r w:rsidR="00D32C6D">
        <w:t xml:space="preserve">, </w:t>
      </w:r>
      <w:r w:rsidR="00643904">
        <w:t>Collaboration of Humanities and Social Sciences in Europe (</w:t>
      </w:r>
      <w:r w:rsidR="00D32C6D">
        <w:t>CHANSE</w:t>
      </w:r>
      <w:r w:rsidR="00643904">
        <w:t>)</w:t>
      </w:r>
      <w:r w:rsidR="00D32C6D">
        <w:t xml:space="preserve"> initiative to explore social</w:t>
      </w:r>
      <w:r w:rsidR="007122EE">
        <w:t xml:space="preserve"> and cultural dynamics in the digital age (joint with ESRC)</w:t>
      </w:r>
      <w:r w:rsidR="00A23644">
        <w:t>, multinational research partnerships investment delivered through Humanities in the European Research Area (HERA) partnership.</w:t>
      </w:r>
    </w:p>
    <w:p w14:paraId="31D1E4A6" w14:textId="77777777" w:rsidR="00831853" w:rsidRDefault="005E7CF7" w:rsidP="00831853">
      <w:r w:rsidRPr="005E7CF7">
        <w:rPr>
          <w:b/>
          <w:bCs/>
        </w:rPr>
        <w:t>Innovation</w:t>
      </w:r>
      <w:r>
        <w:t xml:space="preserve">. Strengthening the </w:t>
      </w:r>
      <w:r w:rsidR="0058210E">
        <w:t>creative industries</w:t>
      </w:r>
      <w:r>
        <w:t xml:space="preserve">. Boosting innovation through design research. Growing investment in </w:t>
      </w:r>
      <w:r w:rsidR="0058210E">
        <w:t>knowledge exchange</w:t>
      </w:r>
      <w:r>
        <w:t xml:space="preserve"> and commercialisation. </w:t>
      </w:r>
      <w:r w:rsidR="002B65C2">
        <w:br/>
      </w:r>
      <w:r w:rsidR="00831853" w:rsidRPr="0026549B">
        <w:rPr>
          <w:u w:val="single"/>
        </w:rPr>
        <w:t>Key opportunities</w:t>
      </w:r>
      <w:r w:rsidR="00831853">
        <w:t xml:space="preserve">: </w:t>
      </w:r>
    </w:p>
    <w:p w14:paraId="5FA9AE56" w14:textId="77777777" w:rsidR="00831853" w:rsidRDefault="002B65C2" w:rsidP="00831853">
      <w:pPr>
        <w:pStyle w:val="ListParagraph"/>
        <w:numPr>
          <w:ilvl w:val="0"/>
          <w:numId w:val="5"/>
        </w:numPr>
      </w:pPr>
      <w:proofErr w:type="spellStart"/>
      <w:r>
        <w:t>CoSTAR</w:t>
      </w:r>
      <w:proofErr w:type="spellEnd"/>
      <w:r>
        <w:t xml:space="preserve">: £95.8m investment </w:t>
      </w:r>
      <w:r w:rsidR="001D389A">
        <w:t>(£</w:t>
      </w:r>
      <w:r w:rsidR="009A402A">
        <w:t xml:space="preserve">31.5m over these 3 years) </w:t>
      </w:r>
      <w:r>
        <w:t>in research and innovation infrastructure</w:t>
      </w:r>
      <w:r w:rsidR="001D389A">
        <w:t xml:space="preserve"> to create new products, experiences and markets for screen and performance industries</w:t>
      </w:r>
      <w:r w:rsidR="00BE1A95">
        <w:t xml:space="preserve">. Aims to </w:t>
      </w:r>
      <w:r w:rsidR="0060773C">
        <w:lastRenderedPageBreak/>
        <w:t>lower barriers for SMEs to contribute to research, allow arts and humanities to take industry forward</w:t>
      </w:r>
      <w:r w:rsidR="005D0934">
        <w:t xml:space="preserve">. </w:t>
      </w:r>
    </w:p>
    <w:p w14:paraId="4F660FAC" w14:textId="77777777" w:rsidR="00831853" w:rsidRDefault="005D0934" w:rsidP="00831853">
      <w:pPr>
        <w:pStyle w:val="ListParagraph"/>
        <w:numPr>
          <w:ilvl w:val="0"/>
          <w:numId w:val="5"/>
        </w:numPr>
      </w:pPr>
      <w:r>
        <w:t xml:space="preserve">Creative industries policy </w:t>
      </w:r>
      <w:r w:rsidR="005011FD">
        <w:t xml:space="preserve">and evidence </w:t>
      </w:r>
      <w:r>
        <w:t>centre</w:t>
      </w:r>
      <w:r w:rsidR="00831853">
        <w:t>,</w:t>
      </w:r>
      <w:r>
        <w:t xml:space="preserve"> and </w:t>
      </w:r>
      <w:r w:rsidR="005011FD">
        <w:t xml:space="preserve">Creative industries clusters programme. </w:t>
      </w:r>
    </w:p>
    <w:p w14:paraId="167A98CA" w14:textId="7ECB3D24" w:rsidR="00831853" w:rsidRDefault="00436D7E" w:rsidP="00307DB4">
      <w:pPr>
        <w:pStyle w:val="ListParagraph"/>
        <w:numPr>
          <w:ilvl w:val="0"/>
          <w:numId w:val="5"/>
        </w:numPr>
      </w:pPr>
      <w:r>
        <w:t>Supporting and investing in design by making</w:t>
      </w:r>
      <w:r w:rsidR="0056524F">
        <w:t xml:space="preserve"> the Design Council</w:t>
      </w:r>
      <w:r>
        <w:t xml:space="preserve"> an arms-length body</w:t>
      </w:r>
      <w:r w:rsidR="002B6BE1">
        <w:t xml:space="preserve"> and providing them funding</w:t>
      </w:r>
      <w:r w:rsidR="0060773C">
        <w:t>.</w:t>
      </w:r>
      <w:r w:rsidR="00367235">
        <w:t xml:space="preserve"> </w:t>
      </w:r>
    </w:p>
    <w:p w14:paraId="6EEA4D5D" w14:textId="77777777" w:rsidR="00831853" w:rsidRDefault="00367235" w:rsidP="00831853">
      <w:pPr>
        <w:pStyle w:val="ListParagraph"/>
        <w:numPr>
          <w:ilvl w:val="0"/>
          <w:numId w:val="5"/>
        </w:numPr>
      </w:pPr>
      <w:r>
        <w:t xml:space="preserve">Future Observatory: Design the Green Transition priority programme. </w:t>
      </w:r>
    </w:p>
    <w:p w14:paraId="72F53551" w14:textId="77777777" w:rsidR="00831853" w:rsidRDefault="00367235" w:rsidP="00831853">
      <w:pPr>
        <w:pStyle w:val="ListParagraph"/>
        <w:numPr>
          <w:ilvl w:val="0"/>
          <w:numId w:val="5"/>
        </w:numPr>
      </w:pPr>
      <w:r>
        <w:t xml:space="preserve">Scaling up </w:t>
      </w:r>
      <w:r w:rsidR="00D74B15">
        <w:t xml:space="preserve">investment in Knowledge Exchange to reach 10% of core budget. </w:t>
      </w:r>
    </w:p>
    <w:p w14:paraId="35275639" w14:textId="2DA6CC37" w:rsidR="0058210E" w:rsidRDefault="00EA601C" w:rsidP="00831853">
      <w:pPr>
        <w:pStyle w:val="ListParagraph"/>
        <w:numPr>
          <w:ilvl w:val="0"/>
          <w:numId w:val="5"/>
        </w:numPr>
      </w:pPr>
      <w:r>
        <w:t xml:space="preserve">Follow on Fund highlight focussing on commercialisation (£1m). </w:t>
      </w:r>
    </w:p>
    <w:p w14:paraId="440B4E60" w14:textId="77777777" w:rsidR="00831853" w:rsidRDefault="005E7CF7" w:rsidP="00831853">
      <w:r w:rsidRPr="005E7CF7">
        <w:rPr>
          <w:b/>
          <w:bCs/>
        </w:rPr>
        <w:t>Impacts</w:t>
      </w:r>
      <w:r>
        <w:t xml:space="preserve">. Leading interdisciplinary responses to national priorities. Building partnerships for a healthier, fairer society and more prosperous economies. </w:t>
      </w:r>
      <w:r w:rsidR="00B146AE">
        <w:br/>
      </w:r>
      <w:r w:rsidR="00831853" w:rsidRPr="0026549B">
        <w:rPr>
          <w:u w:val="single"/>
        </w:rPr>
        <w:t>Key opportunities</w:t>
      </w:r>
      <w:r w:rsidR="00831853">
        <w:t xml:space="preserve">: </w:t>
      </w:r>
    </w:p>
    <w:p w14:paraId="67F8A2ED" w14:textId="42B818E2" w:rsidR="00831853" w:rsidRDefault="00B146AE" w:rsidP="00831853">
      <w:pPr>
        <w:pStyle w:val="ListParagraph"/>
        <w:numPr>
          <w:ilvl w:val="0"/>
          <w:numId w:val="6"/>
        </w:numPr>
      </w:pPr>
      <w:r>
        <w:t>Responsible and ethical AI research programme</w:t>
      </w:r>
      <w:r w:rsidR="00381371">
        <w:t>, in collaboration with EPSRC</w:t>
      </w:r>
      <w:r w:rsidR="00804E3C">
        <w:t xml:space="preserve">. </w:t>
      </w:r>
    </w:p>
    <w:p w14:paraId="3EC2A5EA" w14:textId="77777777" w:rsidR="00831853" w:rsidRDefault="00804E3C" w:rsidP="00831853">
      <w:pPr>
        <w:pStyle w:val="ListParagraph"/>
        <w:numPr>
          <w:ilvl w:val="0"/>
          <w:numId w:val="6"/>
        </w:numPr>
      </w:pPr>
      <w:r>
        <w:t xml:space="preserve">Cross-cultural collaborations to </w:t>
      </w:r>
      <w:r w:rsidR="009B4BE6">
        <w:t xml:space="preserve">address issues contributing to climate change, aiming to reach Net Zero future. </w:t>
      </w:r>
    </w:p>
    <w:p w14:paraId="2B46E46A" w14:textId="77777777" w:rsidR="00831853" w:rsidRDefault="0074550E" w:rsidP="00831853">
      <w:pPr>
        <w:pStyle w:val="ListParagraph"/>
        <w:numPr>
          <w:ilvl w:val="0"/>
          <w:numId w:val="6"/>
        </w:numPr>
      </w:pPr>
      <w:r>
        <w:t>Mobilising Community Assets to address Health Disparities programme</w:t>
      </w:r>
      <w:r w:rsidR="00C23B07">
        <w:t xml:space="preserve"> – improve the standard of evidence for place-based approaches for tackling public health inequalities. </w:t>
      </w:r>
    </w:p>
    <w:p w14:paraId="237E2E61" w14:textId="77777777" w:rsidR="00831853" w:rsidRDefault="00B06C22" w:rsidP="00831853">
      <w:pPr>
        <w:pStyle w:val="ListParagraph"/>
        <w:numPr>
          <w:ilvl w:val="0"/>
          <w:numId w:val="6"/>
        </w:numPr>
      </w:pPr>
      <w:r>
        <w:t xml:space="preserve">Bring humanities perspectives to understanding </w:t>
      </w:r>
      <w:r w:rsidR="007F4562">
        <w:t xml:space="preserve">Covid-19 recovery, through the cross-UKRI Transatlantic Platform. </w:t>
      </w:r>
    </w:p>
    <w:p w14:paraId="53FA7886" w14:textId="59B58362" w:rsidR="00B146AE" w:rsidRDefault="00CF3E8C" w:rsidP="00831853">
      <w:pPr>
        <w:pStyle w:val="ListParagraph"/>
        <w:numPr>
          <w:ilvl w:val="0"/>
          <w:numId w:val="6"/>
        </w:numPr>
      </w:pPr>
      <w:r>
        <w:t xml:space="preserve">Place programme, in collaboration with ESRC, to </w:t>
      </w:r>
      <w:r w:rsidR="00853EAE">
        <w:t xml:space="preserve">establish local policy and innovation partnerships. </w:t>
      </w:r>
    </w:p>
    <w:p w14:paraId="3AC608AB" w14:textId="77777777" w:rsidR="00831853" w:rsidRDefault="005E7CF7" w:rsidP="00831853">
      <w:r w:rsidRPr="005E7CF7">
        <w:rPr>
          <w:b/>
          <w:bCs/>
        </w:rPr>
        <w:t>Organisation</w:t>
      </w:r>
      <w:r>
        <w:t xml:space="preserve">. Learning, to improve how we work and to empower people. Positive action on </w:t>
      </w:r>
      <w:r w:rsidR="00B371BE">
        <w:t>equality, diversity and inclusion</w:t>
      </w:r>
      <w:r>
        <w:t xml:space="preserve"> in </w:t>
      </w:r>
      <w:r w:rsidR="00B371BE">
        <w:t xml:space="preserve">AHRC’s </w:t>
      </w:r>
      <w:r>
        <w:t xml:space="preserve">funded portfolio. </w:t>
      </w:r>
      <w:r w:rsidR="008A6241">
        <w:t xml:space="preserve">Promote the highest standards of transparency, openness and efficiency. </w:t>
      </w:r>
      <w:r w:rsidR="00B371BE">
        <w:br/>
      </w:r>
      <w:r w:rsidR="00831853" w:rsidRPr="0026549B">
        <w:rPr>
          <w:u w:val="single"/>
        </w:rPr>
        <w:t>Key opportunities</w:t>
      </w:r>
      <w:r w:rsidR="00831853">
        <w:t xml:space="preserve">: </w:t>
      </w:r>
    </w:p>
    <w:p w14:paraId="17447B93" w14:textId="77777777" w:rsidR="00831853" w:rsidRDefault="00A86BBA" w:rsidP="00831853">
      <w:pPr>
        <w:pStyle w:val="ListParagraph"/>
        <w:numPr>
          <w:ilvl w:val="0"/>
          <w:numId w:val="7"/>
        </w:numPr>
      </w:pPr>
      <w:r>
        <w:t xml:space="preserve">Regular, open and constructive dialogue. </w:t>
      </w:r>
    </w:p>
    <w:p w14:paraId="3671B49E" w14:textId="77777777" w:rsidR="00831853" w:rsidRDefault="00A86BBA" w:rsidP="00831853">
      <w:pPr>
        <w:pStyle w:val="ListParagraph"/>
        <w:numPr>
          <w:ilvl w:val="0"/>
          <w:numId w:val="7"/>
        </w:numPr>
      </w:pPr>
      <w:r>
        <w:t>Suite of public engagement initiatives (£800,000)</w:t>
      </w:r>
      <w:r w:rsidR="00716ED8">
        <w:t xml:space="preserve"> to actively engage stakeholders, communities and public with the potential of arts and humanities research. </w:t>
      </w:r>
    </w:p>
    <w:p w14:paraId="24F43F9C" w14:textId="39456648" w:rsidR="00B371BE" w:rsidRDefault="00A10F3C" w:rsidP="00831853">
      <w:pPr>
        <w:pStyle w:val="ListParagraph"/>
        <w:numPr>
          <w:ilvl w:val="0"/>
          <w:numId w:val="7"/>
        </w:numPr>
      </w:pPr>
      <w:r>
        <w:t>Directly address EDI in the portfolio by reviewing grant management and awarding processes</w:t>
      </w:r>
      <w:r w:rsidR="0076263D">
        <w:t>. Annual co-funding for cross-council ED&amp;I caucus to inform UKRI policy and practice.</w:t>
      </w:r>
    </w:p>
    <w:p w14:paraId="1F5D8858" w14:textId="77777777" w:rsidR="005E7CF7" w:rsidRPr="0076263D" w:rsidRDefault="005E7CF7" w:rsidP="005E7CF7">
      <w:pPr>
        <w:rPr>
          <w:b/>
          <w:bCs/>
          <w:u w:val="single"/>
        </w:rPr>
      </w:pPr>
      <w:r w:rsidRPr="0076263D">
        <w:rPr>
          <w:b/>
          <w:bCs/>
          <w:u w:val="single"/>
        </w:rPr>
        <w:t>Other key points to note:</w:t>
      </w:r>
    </w:p>
    <w:p w14:paraId="1D892629" w14:textId="197CC86C" w:rsidR="005E7CF7" w:rsidRDefault="00893DAE" w:rsidP="005E7CF7">
      <w:pPr>
        <w:pStyle w:val="ListParagraph"/>
        <w:numPr>
          <w:ilvl w:val="0"/>
          <w:numId w:val="1"/>
        </w:numPr>
      </w:pPr>
      <w:r>
        <w:t>T</w:t>
      </w:r>
      <w:r w:rsidR="005E7CF7">
        <w:t xml:space="preserve">he </w:t>
      </w:r>
      <w:r w:rsidR="0076263D">
        <w:t>objectives, and themes within them,</w:t>
      </w:r>
      <w:r w:rsidR="005E7CF7">
        <w:t xml:space="preserve"> outlined above will not define responsive-mode funding. </w:t>
      </w:r>
      <w:r w:rsidR="00D33BFB">
        <w:t>AHRC’s</w:t>
      </w:r>
      <w:r w:rsidR="005E7CF7">
        <w:t xml:space="preserve"> open calls remain as the “bedrock” of AHRC funding, and </w:t>
      </w:r>
      <w:r w:rsidR="00D33BFB">
        <w:t xml:space="preserve">it is </w:t>
      </w:r>
      <w:r w:rsidR="005E7CF7">
        <w:t>committed to funding excellent research in any area</w:t>
      </w:r>
      <w:r w:rsidR="00D33BFB">
        <w:t xml:space="preserve"> within its remit</w:t>
      </w:r>
      <w:r w:rsidR="005E7CF7">
        <w:t>, not just those above.</w:t>
      </w:r>
    </w:p>
    <w:p w14:paraId="14B29F77" w14:textId="40CE7DC2" w:rsidR="005E7CF7" w:rsidRDefault="009452A3" w:rsidP="00831853">
      <w:pPr>
        <w:pStyle w:val="ListParagraph"/>
        <w:numPr>
          <w:ilvl w:val="0"/>
          <w:numId w:val="1"/>
        </w:numPr>
      </w:pPr>
      <w:r>
        <w:t>Arts and Humanities</w:t>
      </w:r>
      <w:r w:rsidR="005E7CF7">
        <w:t xml:space="preserve"> intersect everything within UKRI; collaboration, interdisciplinarity</w:t>
      </w:r>
      <w:r w:rsidR="00D33BFB">
        <w:t xml:space="preserve"> and</w:t>
      </w:r>
      <w:r w:rsidR="005E7CF7">
        <w:t xml:space="preserve"> innovative approaches will be key to driving change through research.</w:t>
      </w:r>
      <w:r w:rsidR="00964BA7">
        <w:t xml:space="preserve"> </w:t>
      </w:r>
      <w:r w:rsidR="008A6241">
        <w:t xml:space="preserve">AHRC has a vision to lead on this. </w:t>
      </w:r>
    </w:p>
    <w:sectPr w:rsidR="005E7CF7" w:rsidSect="00CC7F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2E9D"/>
    <w:multiLevelType w:val="hybridMultilevel"/>
    <w:tmpl w:val="13309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35B6"/>
    <w:multiLevelType w:val="hybridMultilevel"/>
    <w:tmpl w:val="21C26D2A"/>
    <w:lvl w:ilvl="0" w:tplc="815AE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C775B"/>
    <w:multiLevelType w:val="hybridMultilevel"/>
    <w:tmpl w:val="827A0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2132F"/>
    <w:multiLevelType w:val="hybridMultilevel"/>
    <w:tmpl w:val="553E9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71C58"/>
    <w:multiLevelType w:val="hybridMultilevel"/>
    <w:tmpl w:val="FF806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E39F2"/>
    <w:multiLevelType w:val="hybridMultilevel"/>
    <w:tmpl w:val="762CD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57C6D"/>
    <w:multiLevelType w:val="hybridMultilevel"/>
    <w:tmpl w:val="88386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634058">
    <w:abstractNumId w:val="1"/>
  </w:num>
  <w:num w:numId="2" w16cid:durableId="1535120909">
    <w:abstractNumId w:val="3"/>
  </w:num>
  <w:num w:numId="3" w16cid:durableId="723334190">
    <w:abstractNumId w:val="0"/>
  </w:num>
  <w:num w:numId="4" w16cid:durableId="1405034629">
    <w:abstractNumId w:val="4"/>
  </w:num>
  <w:num w:numId="5" w16cid:durableId="1807161940">
    <w:abstractNumId w:val="5"/>
  </w:num>
  <w:num w:numId="6" w16cid:durableId="1465002888">
    <w:abstractNumId w:val="2"/>
  </w:num>
  <w:num w:numId="7" w16cid:durableId="2076272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F7"/>
    <w:rsid w:val="000043D8"/>
    <w:rsid w:val="00013325"/>
    <w:rsid w:val="00015F1F"/>
    <w:rsid w:val="0002551A"/>
    <w:rsid w:val="00051A50"/>
    <w:rsid w:val="00077282"/>
    <w:rsid w:val="000F3930"/>
    <w:rsid w:val="001363E3"/>
    <w:rsid w:val="001D389A"/>
    <w:rsid w:val="001D6110"/>
    <w:rsid w:val="001E03CA"/>
    <w:rsid w:val="0026549B"/>
    <w:rsid w:val="002B65C2"/>
    <w:rsid w:val="002B6BE1"/>
    <w:rsid w:val="002F0BE4"/>
    <w:rsid w:val="00305AC8"/>
    <w:rsid w:val="00307DB4"/>
    <w:rsid w:val="00367235"/>
    <w:rsid w:val="00381371"/>
    <w:rsid w:val="003C495C"/>
    <w:rsid w:val="003C74B8"/>
    <w:rsid w:val="003D29D0"/>
    <w:rsid w:val="00436D7E"/>
    <w:rsid w:val="0044010A"/>
    <w:rsid w:val="004C793B"/>
    <w:rsid w:val="004F5A85"/>
    <w:rsid w:val="005011FD"/>
    <w:rsid w:val="00505396"/>
    <w:rsid w:val="00563A8B"/>
    <w:rsid w:val="0056524F"/>
    <w:rsid w:val="0058210E"/>
    <w:rsid w:val="005D0934"/>
    <w:rsid w:val="005E5558"/>
    <w:rsid w:val="005E7CF7"/>
    <w:rsid w:val="0060773C"/>
    <w:rsid w:val="00612B1F"/>
    <w:rsid w:val="00643904"/>
    <w:rsid w:val="006D46C8"/>
    <w:rsid w:val="007122EE"/>
    <w:rsid w:val="00716ED8"/>
    <w:rsid w:val="0072097B"/>
    <w:rsid w:val="0074550E"/>
    <w:rsid w:val="0076263D"/>
    <w:rsid w:val="00792CB6"/>
    <w:rsid w:val="007F4562"/>
    <w:rsid w:val="00804E3C"/>
    <w:rsid w:val="00831853"/>
    <w:rsid w:val="008375F3"/>
    <w:rsid w:val="00853EAE"/>
    <w:rsid w:val="0087081B"/>
    <w:rsid w:val="00893DAE"/>
    <w:rsid w:val="008A6241"/>
    <w:rsid w:val="008E7E03"/>
    <w:rsid w:val="009452A3"/>
    <w:rsid w:val="00964BA7"/>
    <w:rsid w:val="009A402A"/>
    <w:rsid w:val="009B4BE6"/>
    <w:rsid w:val="00A03483"/>
    <w:rsid w:val="00A10F3C"/>
    <w:rsid w:val="00A23644"/>
    <w:rsid w:val="00A86BBA"/>
    <w:rsid w:val="00A96AB9"/>
    <w:rsid w:val="00B06C22"/>
    <w:rsid w:val="00B146AE"/>
    <w:rsid w:val="00B371BE"/>
    <w:rsid w:val="00BB0758"/>
    <w:rsid w:val="00BE1A95"/>
    <w:rsid w:val="00C06829"/>
    <w:rsid w:val="00C23B07"/>
    <w:rsid w:val="00C64502"/>
    <w:rsid w:val="00CC7FD6"/>
    <w:rsid w:val="00CF3E8C"/>
    <w:rsid w:val="00D22A37"/>
    <w:rsid w:val="00D32C6D"/>
    <w:rsid w:val="00D33BFB"/>
    <w:rsid w:val="00D74B15"/>
    <w:rsid w:val="00DA5902"/>
    <w:rsid w:val="00DB7392"/>
    <w:rsid w:val="00E114AE"/>
    <w:rsid w:val="00E1186F"/>
    <w:rsid w:val="00E13400"/>
    <w:rsid w:val="00EA601C"/>
    <w:rsid w:val="00EF0585"/>
    <w:rsid w:val="00F3564E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E439B"/>
  <w15:chartTrackingRefBased/>
  <w15:docId w15:val="{081F61BF-DD7F-463E-8DEA-2527F323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853"/>
  </w:style>
  <w:style w:type="paragraph" w:styleId="Heading1">
    <w:name w:val="heading 1"/>
    <w:basedOn w:val="Normal"/>
    <w:next w:val="Normal"/>
    <w:link w:val="Heading1Char"/>
    <w:uiPriority w:val="9"/>
    <w:qFormat/>
    <w:rsid w:val="003C4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C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7C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92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B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34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Lewis</dc:creator>
  <cp:keywords/>
  <dc:description/>
  <cp:lastModifiedBy>Charlotte Johnson</cp:lastModifiedBy>
  <cp:revision>2</cp:revision>
  <dcterms:created xsi:type="dcterms:W3CDTF">2022-10-13T09:42:00Z</dcterms:created>
  <dcterms:modified xsi:type="dcterms:W3CDTF">2022-10-13T09:42:00Z</dcterms:modified>
</cp:coreProperties>
</file>